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5D" w:rsidRPr="00FB7C15" w:rsidRDefault="00111FCB" w:rsidP="00111FCB">
      <w:pPr>
        <w:rPr>
          <w:rFonts w:ascii="標楷體" w:eastAsia="標楷體" w:hAnsi="標楷體" w:hint="eastAsia"/>
          <w:szCs w:val="24"/>
        </w:rPr>
      </w:pPr>
      <w:r>
        <w:rPr>
          <w:rFonts w:hint="eastAsia"/>
        </w:rPr>
        <w:t xml:space="preserve">                     </w:t>
      </w:r>
      <w:r w:rsidRPr="00FB7C15">
        <w:rPr>
          <w:rFonts w:ascii="標楷體" w:eastAsia="標楷體" w:hAnsi="標楷體" w:hint="eastAsia"/>
          <w:szCs w:val="24"/>
        </w:rPr>
        <w:t>合法房屋證明文件</w:t>
      </w:r>
      <w:r w:rsidRPr="00FB7C15">
        <w:rPr>
          <w:rFonts w:ascii="標楷體" w:eastAsia="標楷體" w:hAnsi="標楷體" w:hint="eastAsia"/>
          <w:szCs w:val="24"/>
        </w:rPr>
        <w:t>認定時間點</w:t>
      </w:r>
      <w:bookmarkStart w:id="0" w:name="_GoBack"/>
      <w:bookmarkEnd w:id="0"/>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一、田地目以外土地：</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原</w:t>
      </w:r>
      <w:proofErr w:type="gramStart"/>
      <w:r w:rsidRPr="00FB7C15">
        <w:rPr>
          <w:rFonts w:ascii="標楷體" w:eastAsia="標楷體" w:hAnsi="標楷體" w:hint="eastAsia"/>
          <w:szCs w:val="24"/>
        </w:rPr>
        <w:t>臺中縣係於</w:t>
      </w:r>
      <w:proofErr w:type="gramEnd"/>
      <w:r w:rsidRPr="00FB7C15">
        <w:rPr>
          <w:rFonts w:ascii="標楷體" w:eastAsia="標楷體" w:hAnsi="標楷體" w:hint="eastAsia"/>
          <w:szCs w:val="24"/>
        </w:rPr>
        <w:t>69年6月1日公告編定，是以田地目以外土地應提出69年6</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月1日以前合法房屋證明文件。</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二、</w:t>
      </w:r>
      <w:r w:rsidRPr="00FB7C15">
        <w:rPr>
          <w:rFonts w:ascii="標楷體" w:eastAsia="標楷體" w:hAnsi="標楷體" w:hint="eastAsia"/>
          <w:szCs w:val="24"/>
        </w:rPr>
        <w:t>田地目土地：</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「田」地目1-12等則已於62年12月24日編為「農業用地」；</w:t>
      </w:r>
      <w:r w:rsidRPr="00FB7C15">
        <w:rPr>
          <w:rFonts w:ascii="標楷體" w:eastAsia="標楷體" w:hAnsi="標楷體" w:hint="eastAsia"/>
          <w:szCs w:val="24"/>
        </w:rPr>
        <w:t>「田」地目1</w:t>
      </w:r>
      <w:r w:rsidRPr="00FB7C15">
        <w:rPr>
          <w:rFonts w:ascii="標楷體" w:eastAsia="標楷體" w:hAnsi="標楷體" w:hint="eastAsia"/>
          <w:szCs w:val="24"/>
        </w:rPr>
        <w:t>3</w:t>
      </w:r>
      <w:r w:rsidRPr="00FB7C15">
        <w:rPr>
          <w:rFonts w:ascii="標楷體" w:eastAsia="標楷體" w:hAnsi="標楷體" w:hint="eastAsia"/>
          <w:szCs w:val="24"/>
        </w:rPr>
        <w:t>-2</w:t>
      </w:r>
      <w:r w:rsidRPr="00FB7C15">
        <w:rPr>
          <w:rFonts w:ascii="標楷體" w:eastAsia="標楷體" w:hAnsi="標楷體" w:hint="eastAsia"/>
          <w:szCs w:val="24"/>
        </w:rPr>
        <w:t>6</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w:t>
      </w:r>
      <w:r w:rsidRPr="00FB7C15">
        <w:rPr>
          <w:rFonts w:ascii="標楷體" w:eastAsia="標楷體" w:hAnsi="標楷體" w:hint="eastAsia"/>
          <w:szCs w:val="24"/>
        </w:rPr>
        <w:t>等則已於6</w:t>
      </w:r>
      <w:r w:rsidRPr="00FB7C15">
        <w:rPr>
          <w:rFonts w:ascii="標楷體" w:eastAsia="標楷體" w:hAnsi="標楷體" w:hint="eastAsia"/>
          <w:szCs w:val="24"/>
        </w:rPr>
        <w:t>4</w:t>
      </w:r>
      <w:r w:rsidRPr="00FB7C15">
        <w:rPr>
          <w:rFonts w:ascii="標楷體" w:eastAsia="標楷體" w:hAnsi="標楷體" w:hint="eastAsia"/>
          <w:szCs w:val="24"/>
        </w:rPr>
        <w:t>年12月</w:t>
      </w:r>
      <w:r w:rsidRPr="00FB7C15">
        <w:rPr>
          <w:rFonts w:ascii="標楷體" w:eastAsia="標楷體" w:hAnsi="標楷體" w:hint="eastAsia"/>
          <w:szCs w:val="24"/>
        </w:rPr>
        <w:t>31</w:t>
      </w:r>
      <w:r w:rsidRPr="00FB7C15">
        <w:rPr>
          <w:rFonts w:ascii="標楷體" w:eastAsia="標楷體" w:hAnsi="標楷體" w:hint="eastAsia"/>
          <w:szCs w:val="24"/>
        </w:rPr>
        <w:t>日編為「農業用地」</w:t>
      </w:r>
      <w:r w:rsidRPr="00FB7C15">
        <w:rPr>
          <w:rFonts w:ascii="標楷體" w:eastAsia="標楷體" w:hAnsi="標楷體" w:hint="eastAsia"/>
          <w:szCs w:val="24"/>
        </w:rPr>
        <w:t>。</w:t>
      </w:r>
      <w:r w:rsidRPr="00FB7C15">
        <w:rPr>
          <w:rFonts w:ascii="標楷體" w:eastAsia="標楷體" w:hAnsi="標楷體" w:hint="eastAsia"/>
          <w:szCs w:val="24"/>
        </w:rPr>
        <w:t>「田」地目</w:t>
      </w:r>
      <w:r w:rsidRPr="00FB7C15">
        <w:rPr>
          <w:rFonts w:ascii="標楷體" w:eastAsia="標楷體" w:hAnsi="標楷體" w:hint="eastAsia"/>
          <w:szCs w:val="24"/>
        </w:rPr>
        <w:t>申辦更正編定，應出</w:t>
      </w: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具前開時間點合法房屋證明文件。</w:t>
      </w:r>
    </w:p>
    <w:p w:rsidR="00111FCB" w:rsidRPr="00FB7C15" w:rsidRDefault="00111FCB" w:rsidP="00111FCB">
      <w:pPr>
        <w:rPr>
          <w:rFonts w:ascii="標楷體" w:eastAsia="標楷體" w:hAnsi="標楷體" w:hint="eastAsia"/>
          <w:szCs w:val="24"/>
        </w:rPr>
      </w:pPr>
    </w:p>
    <w:p w:rsidR="00111FCB" w:rsidRPr="00FB7C15" w:rsidRDefault="00111FCB" w:rsidP="00111FCB">
      <w:pPr>
        <w:rPr>
          <w:rFonts w:ascii="標楷體" w:eastAsia="標楷體" w:hAnsi="標楷體" w:hint="eastAsia"/>
          <w:szCs w:val="24"/>
        </w:rPr>
      </w:pPr>
      <w:r w:rsidRPr="00FB7C15">
        <w:rPr>
          <w:rFonts w:ascii="標楷體" w:eastAsia="標楷體" w:hAnsi="標楷體" w:hint="eastAsia"/>
          <w:szCs w:val="24"/>
        </w:rPr>
        <w:t xml:space="preserve">                             &lt;&lt;參酌&gt;&gt;</w:t>
      </w:r>
    </w:p>
    <w:p w:rsidR="00111FCB" w:rsidRPr="00FB7C15" w:rsidRDefault="00111FCB" w:rsidP="00111FCB">
      <w:pPr>
        <w:rPr>
          <w:rFonts w:ascii="標楷體" w:eastAsia="標楷體" w:hAnsi="標楷體" w:hint="eastAsia"/>
          <w:color w:val="000000"/>
          <w:spacing w:val="15"/>
          <w:szCs w:val="24"/>
        </w:rPr>
      </w:pPr>
      <w:r w:rsidRPr="00FB7C15">
        <w:rPr>
          <w:rFonts w:ascii="標楷體" w:eastAsia="標楷體" w:hAnsi="標楷體" w:hint="eastAsia"/>
          <w:color w:val="000000"/>
          <w:spacing w:val="15"/>
          <w:szCs w:val="24"/>
        </w:rPr>
        <w:t>【公布日期文號】 內政部105年8月8日內</w:t>
      </w:r>
      <w:proofErr w:type="gramStart"/>
      <w:r w:rsidRPr="00FB7C15">
        <w:rPr>
          <w:rFonts w:ascii="標楷體" w:eastAsia="標楷體" w:hAnsi="標楷體" w:hint="eastAsia"/>
          <w:color w:val="000000"/>
          <w:spacing w:val="15"/>
          <w:szCs w:val="24"/>
        </w:rPr>
        <w:t>授中辦地字</w:t>
      </w:r>
      <w:proofErr w:type="gramEnd"/>
      <w:r w:rsidRPr="00FB7C15">
        <w:rPr>
          <w:rFonts w:ascii="標楷體" w:eastAsia="標楷體" w:hAnsi="標楷體" w:hint="eastAsia"/>
          <w:color w:val="000000"/>
          <w:spacing w:val="15"/>
          <w:szCs w:val="24"/>
        </w:rPr>
        <w:t>第1051306434號函</w:t>
      </w:r>
    </w:p>
    <w:p w:rsidR="00111FCB" w:rsidRPr="00FB7C15" w:rsidRDefault="00111FCB" w:rsidP="00111FCB">
      <w:pPr>
        <w:rPr>
          <w:rFonts w:ascii="標楷體" w:eastAsia="標楷體" w:hAnsi="標楷體" w:hint="eastAsia"/>
          <w:color w:val="000000"/>
          <w:spacing w:val="15"/>
          <w:szCs w:val="24"/>
        </w:rPr>
      </w:pPr>
      <w:r w:rsidRPr="00FB7C15">
        <w:rPr>
          <w:rFonts w:ascii="標楷體" w:eastAsia="標楷體" w:hAnsi="標楷體" w:hint="eastAsia"/>
          <w:color w:val="000000"/>
          <w:spacing w:val="15"/>
          <w:szCs w:val="24"/>
        </w:rPr>
        <w:t>【要　　旨】有關非都市土地辦理更正編定為一般建築用地，實地是否需有合法房</w:t>
      </w:r>
    </w:p>
    <w:p w:rsidR="00111FCB" w:rsidRPr="00FB7C15" w:rsidRDefault="00111FCB" w:rsidP="00111FCB">
      <w:pPr>
        <w:rPr>
          <w:rFonts w:ascii="標楷體" w:eastAsia="標楷體" w:hAnsi="標楷體" w:hint="eastAsia"/>
          <w:color w:val="000000"/>
          <w:spacing w:val="15"/>
          <w:szCs w:val="24"/>
        </w:rPr>
      </w:pPr>
      <w:r w:rsidRPr="00FB7C15">
        <w:rPr>
          <w:rFonts w:ascii="標楷體" w:eastAsia="標楷體" w:hAnsi="標楷體" w:hint="eastAsia"/>
          <w:color w:val="000000"/>
          <w:spacing w:val="15"/>
          <w:szCs w:val="24"/>
        </w:rPr>
        <w:t xml:space="preserve">          </w:t>
      </w:r>
      <w:r w:rsidRPr="00FB7C15">
        <w:rPr>
          <w:rFonts w:ascii="標楷體" w:eastAsia="標楷體" w:hAnsi="標楷體" w:hint="eastAsia"/>
          <w:color w:val="000000"/>
          <w:spacing w:val="15"/>
          <w:szCs w:val="24"/>
        </w:rPr>
        <w:t>屋存在，始得核准其更正編定之補充說明</w:t>
      </w:r>
      <w:r w:rsidRPr="00FB7C15">
        <w:rPr>
          <w:rFonts w:ascii="標楷體" w:eastAsia="標楷體" w:hAnsi="標楷體" w:hint="eastAsia"/>
          <w:color w:val="000000"/>
          <w:spacing w:val="15"/>
          <w:szCs w:val="24"/>
        </w:rPr>
        <w:t>。</w:t>
      </w:r>
    </w:p>
    <w:p w:rsidR="00111FCB" w:rsidRPr="00FB7C15" w:rsidRDefault="00111FCB" w:rsidP="00111FCB">
      <w:pPr>
        <w:rPr>
          <w:rFonts w:ascii="標楷體" w:eastAsia="標楷體" w:hAnsi="標楷體" w:hint="eastAsia"/>
          <w:color w:val="000000"/>
          <w:spacing w:val="15"/>
          <w:szCs w:val="24"/>
        </w:rPr>
      </w:pPr>
      <w:r w:rsidRPr="00FB7C15">
        <w:rPr>
          <w:rFonts w:ascii="標楷體" w:eastAsia="標楷體" w:hAnsi="標楷體" w:hint="eastAsia"/>
          <w:color w:val="000000"/>
          <w:spacing w:val="15"/>
          <w:szCs w:val="24"/>
        </w:rPr>
        <w:t>【內　　容】</w:t>
      </w:r>
    </w:p>
    <w:p w:rsidR="00111FCB" w:rsidRPr="00FB7C15" w:rsidRDefault="00111FCB" w:rsidP="00111FCB">
      <w:pPr>
        <w:rPr>
          <w:rFonts w:ascii="標楷體" w:eastAsia="標楷體" w:hAnsi="標楷體" w:hint="eastAsia"/>
          <w:color w:val="000000"/>
          <w:spacing w:val="15"/>
          <w:szCs w:val="24"/>
        </w:rPr>
      </w:pPr>
      <w:r w:rsidRPr="00FB7C15">
        <w:rPr>
          <w:rFonts w:ascii="標楷體" w:eastAsia="標楷體" w:hAnsi="標楷體" w:hint="eastAsia"/>
          <w:color w:val="000000"/>
          <w:spacing w:val="15"/>
          <w:szCs w:val="24"/>
        </w:rPr>
        <w:t>一、略。</w:t>
      </w:r>
    </w:p>
    <w:p w:rsidR="00111FCB" w:rsidRPr="00FB7C15" w:rsidRDefault="00111FCB" w:rsidP="00111FCB">
      <w:pPr>
        <w:rPr>
          <w:rFonts w:ascii="標楷體" w:eastAsia="標楷體" w:hAnsi="標楷體"/>
          <w:color w:val="000000" w:themeColor="text1"/>
          <w:szCs w:val="24"/>
        </w:rPr>
      </w:pPr>
      <w:r w:rsidRPr="00FB7C15">
        <w:rPr>
          <w:rFonts w:ascii="標楷體" w:eastAsia="標楷體" w:hAnsi="標楷體" w:hint="eastAsia"/>
          <w:color w:val="000000"/>
          <w:spacing w:val="15"/>
          <w:szCs w:val="24"/>
        </w:rPr>
        <w:t>二、</w:t>
      </w:r>
      <w:r w:rsidRPr="00FB7C15">
        <w:rPr>
          <w:rFonts w:ascii="標楷體" w:eastAsia="標楷體" w:hAnsi="標楷體" w:hint="eastAsia"/>
          <w:color w:val="000000" w:themeColor="text1"/>
          <w:spacing w:val="15"/>
          <w:szCs w:val="24"/>
        </w:rPr>
        <w:t>按非都市土地辦理更正編定為一般建築用地，除應檢附實施</w:t>
      </w:r>
      <w:proofErr w:type="gramStart"/>
      <w:r w:rsidRPr="00FB7C15">
        <w:rPr>
          <w:rFonts w:ascii="標楷體" w:eastAsia="標楷體" w:hAnsi="標楷體" w:hint="eastAsia"/>
          <w:color w:val="000000" w:themeColor="text1"/>
          <w:spacing w:val="15"/>
          <w:szCs w:val="24"/>
        </w:rPr>
        <w:t>建管前或</w:t>
      </w:r>
      <w:proofErr w:type="gramEnd"/>
      <w:r w:rsidRPr="00FB7C15">
        <w:rPr>
          <w:rFonts w:ascii="標楷體" w:eastAsia="標楷體" w:hAnsi="標楷體" w:hint="eastAsia"/>
          <w:color w:val="000000" w:themeColor="text1"/>
          <w:spacing w:val="15"/>
          <w:szCs w:val="24"/>
        </w:rPr>
        <w:t>公告編定前之合法房屋證明文件外，實地需有合法房屋存在（除地震毀損或「建」地目土地外），為本部88年9月17日台</w:t>
      </w:r>
      <w:proofErr w:type="gramStart"/>
      <w:r w:rsidRPr="00FB7C15">
        <w:rPr>
          <w:rFonts w:ascii="標楷體" w:eastAsia="標楷體" w:hAnsi="標楷體" w:hint="eastAsia"/>
          <w:color w:val="000000" w:themeColor="text1"/>
          <w:spacing w:val="15"/>
          <w:szCs w:val="24"/>
        </w:rPr>
        <w:t>內中地字第8884761號</w:t>
      </w:r>
      <w:proofErr w:type="gramEnd"/>
      <w:r w:rsidRPr="00FB7C15">
        <w:rPr>
          <w:rFonts w:ascii="標楷體" w:eastAsia="標楷體" w:hAnsi="標楷體" w:hint="eastAsia"/>
          <w:color w:val="000000" w:themeColor="text1"/>
          <w:spacing w:val="15"/>
          <w:szCs w:val="24"/>
        </w:rPr>
        <w:t>函、88年12月13日台</w:t>
      </w:r>
      <w:proofErr w:type="gramStart"/>
      <w:r w:rsidRPr="00FB7C15">
        <w:rPr>
          <w:rFonts w:ascii="標楷體" w:eastAsia="標楷體" w:hAnsi="標楷體" w:hint="eastAsia"/>
          <w:color w:val="000000" w:themeColor="text1"/>
          <w:spacing w:val="15"/>
          <w:szCs w:val="24"/>
        </w:rPr>
        <w:t>內中地字第8886880號</w:t>
      </w:r>
      <w:proofErr w:type="gramEnd"/>
      <w:r w:rsidRPr="00FB7C15">
        <w:rPr>
          <w:rFonts w:ascii="標楷體" w:eastAsia="標楷體" w:hAnsi="標楷體" w:hint="eastAsia"/>
          <w:color w:val="000000" w:themeColor="text1"/>
          <w:spacing w:val="15"/>
          <w:szCs w:val="24"/>
        </w:rPr>
        <w:t>函、92年9月25日內</w:t>
      </w:r>
      <w:proofErr w:type="gramStart"/>
      <w:r w:rsidRPr="00FB7C15">
        <w:rPr>
          <w:rFonts w:ascii="標楷體" w:eastAsia="標楷體" w:hAnsi="標楷體" w:hint="eastAsia"/>
          <w:color w:val="000000" w:themeColor="text1"/>
          <w:spacing w:val="15"/>
          <w:szCs w:val="24"/>
        </w:rPr>
        <w:t>授中辦地字</w:t>
      </w:r>
      <w:proofErr w:type="gramEnd"/>
      <w:r w:rsidRPr="00FB7C15">
        <w:rPr>
          <w:rFonts w:ascii="標楷體" w:eastAsia="標楷體" w:hAnsi="標楷體" w:hint="eastAsia"/>
          <w:color w:val="000000" w:themeColor="text1"/>
          <w:spacing w:val="15"/>
          <w:szCs w:val="24"/>
        </w:rPr>
        <w:t>第0920083974號函及101年5月16日內</w:t>
      </w:r>
      <w:proofErr w:type="gramStart"/>
      <w:r w:rsidRPr="00FB7C15">
        <w:rPr>
          <w:rFonts w:ascii="標楷體" w:eastAsia="標楷體" w:hAnsi="標楷體" w:hint="eastAsia"/>
          <w:color w:val="000000" w:themeColor="text1"/>
          <w:spacing w:val="15"/>
          <w:szCs w:val="24"/>
        </w:rPr>
        <w:t>授中辦地字</w:t>
      </w:r>
      <w:proofErr w:type="gramEnd"/>
      <w:r w:rsidRPr="00FB7C15">
        <w:rPr>
          <w:rFonts w:ascii="標楷體" w:eastAsia="標楷體" w:hAnsi="標楷體" w:hint="eastAsia"/>
          <w:color w:val="000000" w:themeColor="text1"/>
          <w:spacing w:val="15"/>
          <w:szCs w:val="24"/>
        </w:rPr>
        <w:t>第1016650820號函等釋示有案。</w:t>
      </w:r>
      <w:proofErr w:type="gramStart"/>
      <w:r w:rsidRPr="00FB7C15">
        <w:rPr>
          <w:rFonts w:ascii="標楷體" w:eastAsia="標楷體" w:hAnsi="標楷體" w:hint="eastAsia"/>
          <w:color w:val="FF0000"/>
          <w:spacing w:val="15"/>
          <w:szCs w:val="24"/>
        </w:rPr>
        <w:t>惟查臺灣</w:t>
      </w:r>
      <w:proofErr w:type="gramEnd"/>
      <w:r w:rsidRPr="00FB7C15">
        <w:rPr>
          <w:rFonts w:ascii="標楷體" w:eastAsia="標楷體" w:hAnsi="標楷體" w:hint="eastAsia"/>
          <w:color w:val="FF0000"/>
          <w:spacing w:val="15"/>
          <w:szCs w:val="24"/>
        </w:rPr>
        <w:t>都市計畫外</w:t>
      </w:r>
      <w:r w:rsidRPr="00FB7C15">
        <w:rPr>
          <w:rStyle w:val="a3"/>
          <w:rFonts w:ascii="標楷體" w:eastAsia="標楷體" w:hAnsi="標楷體" w:hint="eastAsia"/>
          <w:color w:val="FF0000"/>
          <w:spacing w:val="15"/>
          <w:szCs w:val="24"/>
        </w:rPr>
        <w:t> 「田」地目 </w:t>
      </w:r>
      <w:r w:rsidRPr="00FB7C15">
        <w:rPr>
          <w:rFonts w:ascii="標楷體" w:eastAsia="標楷體" w:hAnsi="標楷體" w:hint="eastAsia"/>
          <w:color w:val="FF0000"/>
          <w:spacing w:val="15"/>
          <w:szCs w:val="24"/>
        </w:rPr>
        <w:t>土地於62年（1至12等則）及64年（13至26等則）即先後編定農業用地，並依原限制建地擴展執行辦法及實施都市計畫以外地區建築管理辦法等相關規定嚴加管制</w:t>
      </w:r>
      <w:r w:rsidRPr="00FB7C15">
        <w:rPr>
          <w:rFonts w:ascii="標楷體" w:eastAsia="標楷體" w:hAnsi="標楷體" w:hint="eastAsia"/>
          <w:color w:val="000000" w:themeColor="text1"/>
          <w:spacing w:val="15"/>
          <w:szCs w:val="24"/>
        </w:rPr>
        <w:t>；</w:t>
      </w:r>
      <w:proofErr w:type="gramStart"/>
      <w:r w:rsidRPr="00FB7C15">
        <w:rPr>
          <w:rFonts w:ascii="標楷體" w:eastAsia="標楷體" w:hAnsi="標楷體" w:hint="eastAsia"/>
          <w:color w:val="000000" w:themeColor="text1"/>
          <w:spacing w:val="15"/>
          <w:szCs w:val="24"/>
        </w:rPr>
        <w:t>嗣</w:t>
      </w:r>
      <w:proofErr w:type="gramEnd"/>
      <w:r w:rsidRPr="00FB7C15">
        <w:rPr>
          <w:rFonts w:ascii="標楷體" w:eastAsia="標楷體" w:hAnsi="標楷體" w:hint="eastAsia"/>
          <w:color w:val="000000" w:themeColor="text1"/>
          <w:spacing w:val="15"/>
          <w:szCs w:val="24"/>
        </w:rPr>
        <w:t>區域計畫法（63年1月31日）公布施行後，18縣（市）之非都市土地，自64年屏東縣首辦編定，至75年</w:t>
      </w:r>
      <w:proofErr w:type="gramStart"/>
      <w:r w:rsidRPr="00FB7C15">
        <w:rPr>
          <w:rFonts w:ascii="標楷體" w:eastAsia="標楷體" w:hAnsi="標楷體" w:hint="eastAsia"/>
          <w:color w:val="000000" w:themeColor="text1"/>
          <w:spacing w:val="15"/>
          <w:szCs w:val="24"/>
        </w:rPr>
        <w:t>嘉義縣辦竣公告</w:t>
      </w:r>
      <w:proofErr w:type="gramEnd"/>
      <w:r w:rsidRPr="00FB7C15">
        <w:rPr>
          <w:rFonts w:ascii="標楷體" w:eastAsia="標楷體" w:hAnsi="標楷體" w:hint="eastAsia"/>
          <w:color w:val="000000" w:themeColor="text1"/>
          <w:spacing w:val="15"/>
          <w:szCs w:val="24"/>
        </w:rPr>
        <w:t>，距今已逾30年至40年不等，房屋難免毀損或未依建築法申請建照執照即改（修）建、新建等情形，致其構造、材質與實施管制前之</w:t>
      </w:r>
      <w:proofErr w:type="gramStart"/>
      <w:r w:rsidRPr="00FB7C15">
        <w:rPr>
          <w:rFonts w:ascii="標楷體" w:eastAsia="標楷體" w:hAnsi="標楷體" w:hint="eastAsia"/>
          <w:color w:val="000000" w:themeColor="text1"/>
          <w:spacing w:val="15"/>
          <w:szCs w:val="24"/>
        </w:rPr>
        <w:t>原貌或稅籍</w:t>
      </w:r>
      <w:proofErr w:type="gramEnd"/>
      <w:r w:rsidRPr="00FB7C15">
        <w:rPr>
          <w:rFonts w:ascii="標楷體" w:eastAsia="標楷體" w:hAnsi="標楷體" w:hint="eastAsia"/>
          <w:color w:val="000000" w:themeColor="text1"/>
          <w:spacing w:val="15"/>
          <w:szCs w:val="24"/>
        </w:rPr>
        <w:t>證明所載並不一致，於辦理更正編定會</w:t>
      </w:r>
      <w:proofErr w:type="gramStart"/>
      <w:r w:rsidRPr="00FB7C15">
        <w:rPr>
          <w:rFonts w:ascii="標楷體" w:eastAsia="標楷體" w:hAnsi="標楷體" w:hint="eastAsia"/>
          <w:color w:val="000000" w:themeColor="text1"/>
          <w:spacing w:val="15"/>
          <w:szCs w:val="24"/>
        </w:rPr>
        <w:t>勘</w:t>
      </w:r>
      <w:proofErr w:type="gramEnd"/>
      <w:r w:rsidRPr="00FB7C15">
        <w:rPr>
          <w:rFonts w:ascii="標楷體" w:eastAsia="標楷體" w:hAnsi="標楷體" w:hint="eastAsia"/>
          <w:color w:val="000000" w:themeColor="text1"/>
          <w:spacing w:val="15"/>
          <w:szCs w:val="24"/>
        </w:rPr>
        <w:t>時，倘經建管（工務）認定非屬實施管制前之合法房屋時，地政</w:t>
      </w:r>
      <w:proofErr w:type="gramStart"/>
      <w:r w:rsidRPr="00FB7C15">
        <w:rPr>
          <w:rFonts w:ascii="標楷體" w:eastAsia="標楷體" w:hAnsi="標楷體" w:hint="eastAsia"/>
          <w:color w:val="000000" w:themeColor="text1"/>
          <w:spacing w:val="15"/>
          <w:szCs w:val="24"/>
        </w:rPr>
        <w:t>單位則否准</w:t>
      </w:r>
      <w:proofErr w:type="gramEnd"/>
      <w:r w:rsidRPr="00FB7C15">
        <w:rPr>
          <w:rFonts w:ascii="標楷體" w:eastAsia="標楷體" w:hAnsi="標楷體" w:hint="eastAsia"/>
          <w:color w:val="000000" w:themeColor="text1"/>
          <w:spacing w:val="15"/>
          <w:szCs w:val="24"/>
        </w:rPr>
        <w:t>其更正編定案件，未盡合理。</w:t>
      </w:r>
    </w:p>
    <w:sectPr w:rsidR="00111FCB" w:rsidRPr="00FB7C1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CB"/>
    <w:rsid w:val="00111FCB"/>
    <w:rsid w:val="0040545D"/>
    <w:rsid w:val="00830E29"/>
    <w:rsid w:val="00FB7C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F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6253">
      <w:bodyDiv w:val="1"/>
      <w:marLeft w:val="0"/>
      <w:marRight w:val="0"/>
      <w:marTop w:val="0"/>
      <w:marBottom w:val="0"/>
      <w:divBdr>
        <w:top w:val="none" w:sz="0" w:space="0" w:color="auto"/>
        <w:left w:val="none" w:sz="0" w:space="0" w:color="auto"/>
        <w:bottom w:val="none" w:sz="0" w:space="0" w:color="auto"/>
        <w:right w:val="none" w:sz="0" w:space="0" w:color="auto"/>
      </w:divBdr>
    </w:div>
    <w:div w:id="13589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2018-11-13T03:44:00Z</dcterms:created>
  <dcterms:modified xsi:type="dcterms:W3CDTF">2018-11-13T04:03:00Z</dcterms:modified>
</cp:coreProperties>
</file>