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FB" w:rsidRDefault="006D1BFB">
      <w:pPr>
        <w:rPr>
          <w:rFonts w:ascii="標楷體" w:eastAsia="標楷體" w:hAnsi="標楷體" w:hint="eastAsia"/>
          <w:color w:val="000000"/>
          <w:spacing w:val="15"/>
          <w:szCs w:val="24"/>
        </w:rPr>
      </w:pPr>
      <w:r w:rsidRPr="006D1BFB">
        <w:rPr>
          <w:rFonts w:ascii="標楷體" w:eastAsia="標楷體" w:hAnsi="標楷體" w:hint="eastAsia"/>
          <w:color w:val="000000"/>
          <w:spacing w:val="15"/>
          <w:szCs w:val="24"/>
        </w:rPr>
        <w:t>【公布日期文號】</w:t>
      </w:r>
      <w:bookmarkStart w:id="0" w:name="_GoBack"/>
      <w:bookmarkEnd w:id="0"/>
      <w:r w:rsidRPr="006D1BFB">
        <w:rPr>
          <w:rFonts w:ascii="標楷體" w:eastAsia="標楷體" w:hAnsi="標楷體" w:hint="eastAsia"/>
          <w:color w:val="000000"/>
          <w:spacing w:val="15"/>
          <w:szCs w:val="24"/>
        </w:rPr>
        <w:t>內政部93年11月9日內授中辦地字第0930726144</w:t>
      </w:r>
    </w:p>
    <w:p w:rsidR="0040545D" w:rsidRPr="006D1BFB" w:rsidRDefault="006D1BFB">
      <w:pPr>
        <w:rPr>
          <w:rFonts w:ascii="標楷體" w:eastAsia="標楷體" w:hAnsi="標楷體" w:hint="eastAsia"/>
          <w:color w:val="000000"/>
          <w:spacing w:val="15"/>
          <w:szCs w:val="24"/>
        </w:rPr>
      </w:pPr>
      <w:r>
        <w:rPr>
          <w:rFonts w:ascii="標楷體" w:eastAsia="標楷體" w:hAnsi="標楷體" w:hint="eastAsia"/>
          <w:color w:val="000000"/>
          <w:spacing w:val="15"/>
          <w:szCs w:val="24"/>
        </w:rPr>
        <w:t xml:space="preserve">              </w:t>
      </w:r>
      <w:r w:rsidRPr="006D1BFB">
        <w:rPr>
          <w:rFonts w:ascii="標楷體" w:eastAsia="標楷體" w:hAnsi="標楷體" w:hint="eastAsia"/>
          <w:color w:val="000000"/>
          <w:spacing w:val="15"/>
          <w:szCs w:val="24"/>
        </w:rPr>
        <w:t>號函</w:t>
      </w:r>
    </w:p>
    <w:p w:rsidR="006D1BFB" w:rsidRDefault="006D1BFB">
      <w:pPr>
        <w:rPr>
          <w:rFonts w:ascii="標楷體" w:eastAsia="標楷體" w:hAnsi="標楷體" w:hint="eastAsia"/>
          <w:color w:val="000000"/>
          <w:spacing w:val="15"/>
          <w:szCs w:val="24"/>
        </w:rPr>
      </w:pPr>
      <w:r w:rsidRPr="006D1BFB">
        <w:rPr>
          <w:rFonts w:ascii="標楷體" w:eastAsia="標楷體" w:hAnsi="標楷體" w:hint="eastAsia"/>
          <w:color w:val="000000"/>
          <w:spacing w:val="15"/>
          <w:szCs w:val="24"/>
        </w:rPr>
        <w:t>【要　　旨】非都市土地辦理更正編定為一般建築用地之合法房屋認定</w:t>
      </w:r>
    </w:p>
    <w:p w:rsidR="006D1BFB" w:rsidRPr="006D1BFB" w:rsidRDefault="006D1BFB">
      <w:pPr>
        <w:rPr>
          <w:rFonts w:ascii="標楷體" w:eastAsia="標楷體" w:hAnsi="標楷體" w:hint="eastAsia"/>
          <w:color w:val="000000"/>
          <w:spacing w:val="15"/>
          <w:szCs w:val="24"/>
        </w:rPr>
      </w:pPr>
      <w:r>
        <w:rPr>
          <w:rFonts w:ascii="標楷體" w:eastAsia="標楷體" w:hAnsi="標楷體" w:hint="eastAsia"/>
          <w:color w:val="000000"/>
          <w:spacing w:val="15"/>
          <w:szCs w:val="24"/>
        </w:rPr>
        <w:t xml:space="preserve">          </w:t>
      </w:r>
      <w:r w:rsidRPr="006D1BFB">
        <w:rPr>
          <w:rFonts w:ascii="標楷體" w:eastAsia="標楷體" w:hAnsi="標楷體" w:hint="eastAsia"/>
          <w:color w:val="000000"/>
          <w:spacing w:val="15"/>
          <w:szCs w:val="24"/>
        </w:rPr>
        <w:t>證明文件相關事宜。</w:t>
      </w:r>
    </w:p>
    <w:p w:rsidR="006D1BFB" w:rsidRPr="006D1BFB" w:rsidRDefault="006D1BFB">
      <w:pPr>
        <w:rPr>
          <w:rFonts w:ascii="標楷體" w:eastAsia="標楷體" w:hAnsi="標楷體" w:hint="eastAsia"/>
          <w:color w:val="000000"/>
          <w:spacing w:val="15"/>
          <w:szCs w:val="24"/>
        </w:rPr>
      </w:pPr>
      <w:r w:rsidRPr="006D1BFB">
        <w:rPr>
          <w:rFonts w:ascii="標楷體" w:eastAsia="標楷體" w:hAnsi="標楷體" w:hint="eastAsia"/>
          <w:color w:val="000000"/>
          <w:spacing w:val="15"/>
          <w:szCs w:val="24"/>
        </w:rPr>
        <w:t>【內　　容】</w:t>
      </w:r>
    </w:p>
    <w:p w:rsidR="006D1BFB" w:rsidRPr="006D1BFB" w:rsidRDefault="006D1BFB">
      <w:pPr>
        <w:rPr>
          <w:color w:val="000000" w:themeColor="text1"/>
        </w:rPr>
      </w:pPr>
      <w:r w:rsidRPr="006D1BFB">
        <w:rPr>
          <w:rFonts w:ascii="標楷體" w:eastAsia="標楷體" w:hAnsi="標楷體" w:hint="eastAsia"/>
          <w:color w:val="000000" w:themeColor="text1"/>
          <w:spacing w:val="15"/>
          <w:szCs w:val="24"/>
        </w:rPr>
        <w:t>一、本案經本部於本（九十三）年八月十九日邀同台灣省各縣市政府（台中、嘉義、台南等市政府除外）、本部營建署、法規委員會（未派員）、地政司（土地登記科、測量科、編定管制科）會商獲致結論如</w:t>
      </w:r>
      <w:proofErr w:type="gramStart"/>
      <w:r w:rsidRPr="006D1BFB">
        <w:rPr>
          <w:rFonts w:ascii="標楷體" w:eastAsia="標楷體" w:hAnsi="標楷體" w:hint="eastAsia"/>
          <w:color w:val="000000" w:themeColor="text1"/>
          <w:spacing w:val="15"/>
          <w:szCs w:val="24"/>
        </w:rPr>
        <w:t>后</w:t>
      </w:r>
      <w:proofErr w:type="gramEnd"/>
      <w:r w:rsidRPr="006D1BFB">
        <w:rPr>
          <w:rFonts w:ascii="標楷體" w:eastAsia="標楷體" w:hAnsi="標楷體" w:hint="eastAsia"/>
          <w:color w:val="000000" w:themeColor="text1"/>
          <w:spacing w:val="15"/>
          <w:szCs w:val="24"/>
        </w:rPr>
        <w:t>：</w:t>
      </w:r>
      <w:r w:rsidRPr="006D1BFB">
        <w:rPr>
          <w:rFonts w:ascii="標楷體" w:eastAsia="標楷體" w:hAnsi="標楷體" w:hint="eastAsia"/>
          <w:color w:val="000000" w:themeColor="text1"/>
          <w:spacing w:val="15"/>
          <w:szCs w:val="24"/>
        </w:rPr>
        <w:br/>
        <w:t>（一）非都市土地編定前合法建物認定證明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，與現行實施建築管理前建造之合法建物證明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及土地登記規則第七十九條第二項規定</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未盡相符，其差異為非都市土地編定前合法建物之認定</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依現行規定為水電證明、稅捐、設籍或房屋謄本、建築執照或建物登記證明，並未含</w:t>
      </w:r>
      <w:proofErr w:type="gramStart"/>
      <w:r w:rsidRPr="006D1BFB">
        <w:rPr>
          <w:rFonts w:ascii="標楷體" w:eastAsia="標楷體" w:hAnsi="標楷體" w:hint="eastAsia"/>
          <w:color w:val="000000" w:themeColor="text1"/>
          <w:spacing w:val="15"/>
          <w:szCs w:val="24"/>
        </w:rPr>
        <w:t>括</w:t>
      </w:r>
      <w:proofErr w:type="gramEnd"/>
      <w:r w:rsidRPr="006D1BFB">
        <w:rPr>
          <w:rFonts w:ascii="標楷體" w:eastAsia="標楷體" w:hAnsi="標楷體" w:hint="eastAsia"/>
          <w:color w:val="000000" w:themeColor="text1"/>
          <w:spacing w:val="15"/>
          <w:szCs w:val="24"/>
        </w:rPr>
        <w:t>「未實施建築管理地區建物完工證明書」、「門牌編釘證明」、「地形圖、航照圖或政府機關測繪地圖」等</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，其中除「未實施建築管理地區建物完工證明書」屬編定公告前施工建築物完工證明資料，性質等同建築執照</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，同意增納列為編定前合法建物證明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外，其餘所列「門牌編釘證明」、「地形圖、航照圖或政府機關測繪地圖」，尚不宜採納作為更正編定合法建物認定之證明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，地方政府僅可受理作為佐證資料。其理由如下：</w:t>
      </w:r>
      <w:r w:rsidRPr="006D1BFB">
        <w:rPr>
          <w:rFonts w:ascii="標楷體" w:eastAsia="標楷體" w:hAnsi="標楷體" w:hint="eastAsia"/>
          <w:color w:val="000000" w:themeColor="text1"/>
          <w:spacing w:val="15"/>
          <w:szCs w:val="24"/>
        </w:rPr>
        <w:br/>
        <w:t>1.基於實施建築管理前建造之合法建物證明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係參酌九二一震災重建暫行條例相關規定修正，及土地登記規則第七十九條第二項係規定申請建物所有權第一次登記時，無使用執照者，應提出實施建築管理前已建造之證明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據以辦理，在性質上，屬產權維護及確定之記載，與非都市土地更正編定首重編定當時土地用途別，並得據以將坐落土地更正為</w:t>
      </w:r>
      <w:r w:rsidRPr="006D1BFB">
        <w:rPr>
          <w:rStyle w:val="a3"/>
          <w:rFonts w:ascii="標楷體" w:eastAsia="標楷體" w:hAnsi="標楷體" w:hint="eastAsia"/>
          <w:b w:val="0"/>
          <w:color w:val="000000" w:themeColor="text1"/>
          <w:spacing w:val="15"/>
          <w:szCs w:val="24"/>
        </w:rPr>
        <w:t>建築用地</w:t>
      </w:r>
      <w:r w:rsidRPr="006D1BFB">
        <w:rPr>
          <w:rFonts w:ascii="標楷體" w:eastAsia="標楷體" w:hAnsi="標楷體" w:hint="eastAsia"/>
          <w:color w:val="000000" w:themeColor="text1"/>
          <w:spacing w:val="15"/>
          <w:szCs w:val="24"/>
        </w:rPr>
        <w:t>之性質有別，且前揭門牌編釘證明、地形圖、航照圖等</w:t>
      </w:r>
      <w:proofErr w:type="gramStart"/>
      <w:r w:rsidRPr="006D1BFB">
        <w:rPr>
          <w:rFonts w:ascii="標楷體" w:eastAsia="標楷體" w:hAnsi="標楷體" w:hint="eastAsia"/>
          <w:color w:val="000000" w:themeColor="text1"/>
          <w:spacing w:val="15"/>
          <w:szCs w:val="24"/>
        </w:rPr>
        <w:t>圖資尚無法判識該</w:t>
      </w:r>
      <w:proofErr w:type="gramEnd"/>
      <w:r w:rsidRPr="006D1BFB">
        <w:rPr>
          <w:rFonts w:ascii="標楷體" w:eastAsia="標楷體" w:hAnsi="標楷體" w:hint="eastAsia"/>
          <w:color w:val="000000" w:themeColor="text1"/>
          <w:spacing w:val="15"/>
          <w:szCs w:val="24"/>
        </w:rPr>
        <w:t>使用地明確之用途別、位置及面積，故二者合法建物之</w:t>
      </w:r>
      <w:proofErr w:type="gramStart"/>
      <w:r w:rsidRPr="006D1BFB">
        <w:rPr>
          <w:rFonts w:ascii="標楷體" w:eastAsia="標楷體" w:hAnsi="標楷體" w:hint="eastAsia"/>
          <w:color w:val="000000" w:themeColor="text1"/>
          <w:spacing w:val="15"/>
          <w:szCs w:val="24"/>
        </w:rPr>
        <w:t>採</w:t>
      </w:r>
      <w:proofErr w:type="gramEnd"/>
      <w:r w:rsidRPr="006D1BFB">
        <w:rPr>
          <w:rFonts w:ascii="標楷體" w:eastAsia="標楷體" w:hAnsi="標楷體" w:hint="eastAsia"/>
          <w:color w:val="000000" w:themeColor="text1"/>
          <w:spacing w:val="15"/>
          <w:szCs w:val="24"/>
        </w:rPr>
        <w:t>認</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自得不一。</w:t>
      </w:r>
      <w:r w:rsidRPr="006D1BFB">
        <w:rPr>
          <w:rFonts w:ascii="標楷體" w:eastAsia="標楷體" w:hAnsi="標楷體" w:hint="eastAsia"/>
          <w:color w:val="000000" w:themeColor="text1"/>
          <w:spacing w:val="15"/>
          <w:szCs w:val="24"/>
        </w:rPr>
        <w:br/>
        <w:t>2.台灣地區十八縣市之非都市土地，自民國六十四年屏東縣首辦編定，各縣市分期分區陸續辦理，至七十五年</w:t>
      </w:r>
      <w:proofErr w:type="gramStart"/>
      <w:r w:rsidRPr="006D1BFB">
        <w:rPr>
          <w:rFonts w:ascii="標楷體" w:eastAsia="標楷體" w:hAnsi="標楷體" w:hint="eastAsia"/>
          <w:color w:val="000000" w:themeColor="text1"/>
          <w:spacing w:val="15"/>
          <w:szCs w:val="24"/>
        </w:rPr>
        <w:t>嘉義縣辦竣公告</w:t>
      </w:r>
      <w:proofErr w:type="gramEnd"/>
      <w:r w:rsidRPr="006D1BFB">
        <w:rPr>
          <w:rFonts w:ascii="標楷體" w:eastAsia="標楷體" w:hAnsi="標楷體" w:hint="eastAsia"/>
          <w:color w:val="000000" w:themeColor="text1"/>
          <w:spacing w:val="15"/>
          <w:szCs w:val="24"/>
        </w:rPr>
        <w:t>，各縣市編定公告距今已逾十八年至二十九年不等，</w:t>
      </w:r>
      <w:proofErr w:type="gramStart"/>
      <w:r w:rsidRPr="006D1BFB">
        <w:rPr>
          <w:rFonts w:ascii="標楷體" w:eastAsia="標楷體" w:hAnsi="標楷體" w:hint="eastAsia"/>
          <w:color w:val="000000" w:themeColor="text1"/>
          <w:spacing w:val="15"/>
          <w:szCs w:val="24"/>
        </w:rPr>
        <w:t>年代均已久遠</w:t>
      </w:r>
      <w:proofErr w:type="gramEnd"/>
      <w:r w:rsidRPr="006D1BFB">
        <w:rPr>
          <w:rFonts w:ascii="標楷體" w:eastAsia="標楷體" w:hAnsi="標楷體" w:hint="eastAsia"/>
          <w:color w:val="000000" w:themeColor="text1"/>
          <w:spacing w:val="15"/>
          <w:szCs w:val="24"/>
        </w:rPr>
        <w:t>，資料查考誠屬不易，</w:t>
      </w:r>
      <w:proofErr w:type="gramStart"/>
      <w:r w:rsidRPr="006D1BFB">
        <w:rPr>
          <w:rFonts w:ascii="標楷體" w:eastAsia="標楷體" w:hAnsi="標楷體" w:hint="eastAsia"/>
          <w:color w:val="000000" w:themeColor="text1"/>
          <w:spacing w:val="15"/>
          <w:szCs w:val="24"/>
        </w:rPr>
        <w:t>且因編定</w:t>
      </w:r>
      <w:proofErr w:type="gramEnd"/>
      <w:r w:rsidRPr="006D1BFB">
        <w:rPr>
          <w:rFonts w:ascii="標楷體" w:eastAsia="標楷體" w:hAnsi="標楷體" w:hint="eastAsia"/>
          <w:color w:val="000000" w:themeColor="text1"/>
          <w:spacing w:val="15"/>
          <w:szCs w:val="24"/>
        </w:rPr>
        <w:t>結果錯誤或遺漏申辦之更正編定案件，</w:t>
      </w:r>
      <w:proofErr w:type="gramStart"/>
      <w:r w:rsidRPr="006D1BFB">
        <w:rPr>
          <w:rFonts w:ascii="標楷體" w:eastAsia="標楷體" w:hAnsi="標楷體" w:hint="eastAsia"/>
          <w:color w:val="000000" w:themeColor="text1"/>
          <w:spacing w:val="15"/>
          <w:szCs w:val="24"/>
        </w:rPr>
        <w:t>均為特例</w:t>
      </w:r>
      <w:proofErr w:type="gramEnd"/>
      <w:r w:rsidRPr="006D1BFB">
        <w:rPr>
          <w:rFonts w:ascii="標楷體" w:eastAsia="標楷體" w:hAnsi="標楷體" w:hint="eastAsia"/>
          <w:color w:val="000000" w:themeColor="text1"/>
          <w:spacing w:val="15"/>
          <w:szCs w:val="24"/>
        </w:rPr>
        <w:t>而非屬常態，為免影響原有法律秩序之正常維持，並維護此類案件之公平性，自不宜再開放增列前開「門牌編釘證明」、「地形圖、都市計畫現況圖、都市計畫</w:t>
      </w:r>
      <w:proofErr w:type="gramStart"/>
      <w:r w:rsidRPr="006D1BFB">
        <w:rPr>
          <w:rFonts w:ascii="標楷體" w:eastAsia="標楷體" w:hAnsi="標楷體" w:hint="eastAsia"/>
          <w:color w:val="000000" w:themeColor="text1"/>
          <w:spacing w:val="15"/>
          <w:szCs w:val="24"/>
        </w:rPr>
        <w:t>禁建圖</w:t>
      </w:r>
      <w:proofErr w:type="gramEnd"/>
      <w:r w:rsidRPr="006D1BFB">
        <w:rPr>
          <w:rFonts w:ascii="標楷體" w:eastAsia="標楷體" w:hAnsi="標楷體" w:hint="eastAsia"/>
          <w:color w:val="000000" w:themeColor="text1"/>
          <w:spacing w:val="15"/>
          <w:szCs w:val="24"/>
        </w:rPr>
        <w:t>、航照圖或政府機關測繪地圖」為證明</w:t>
      </w:r>
      <w:r w:rsidRPr="006D1BFB">
        <w:rPr>
          <w:rStyle w:val="a3"/>
          <w:rFonts w:ascii="標楷體" w:eastAsia="標楷體" w:hAnsi="標楷體" w:hint="eastAsia"/>
          <w:b w:val="0"/>
          <w:color w:val="000000" w:themeColor="text1"/>
          <w:spacing w:val="15"/>
          <w:szCs w:val="24"/>
        </w:rPr>
        <w:t>文件</w:t>
      </w:r>
      <w:r w:rsidRPr="006D1BFB">
        <w:rPr>
          <w:rStyle w:val="a3"/>
          <w:rFonts w:ascii="標楷體" w:eastAsia="標楷體" w:hAnsi="標楷體" w:hint="eastAsia"/>
          <w:color w:val="000000" w:themeColor="text1"/>
          <w:spacing w:val="15"/>
          <w:szCs w:val="24"/>
        </w:rPr>
        <w:t> </w:t>
      </w:r>
      <w:r w:rsidRPr="006D1BFB">
        <w:rPr>
          <w:rFonts w:ascii="標楷體" w:eastAsia="標楷體" w:hAnsi="標楷體" w:hint="eastAsia"/>
          <w:color w:val="000000" w:themeColor="text1"/>
          <w:spacing w:val="15"/>
          <w:szCs w:val="24"/>
        </w:rPr>
        <w:t>。</w:t>
      </w:r>
      <w:r w:rsidRPr="006D1BFB">
        <w:rPr>
          <w:rFonts w:ascii="標楷體" w:eastAsia="標楷體" w:hAnsi="標楷體" w:hint="eastAsia"/>
          <w:color w:val="000000" w:themeColor="text1"/>
          <w:spacing w:val="15"/>
          <w:szCs w:val="24"/>
        </w:rPr>
        <w:br/>
        <w:t>（二）非都市土地更正編定案件涉及事實認定（如證明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審認、實地會</w:t>
      </w:r>
      <w:proofErr w:type="gramStart"/>
      <w:r w:rsidRPr="006D1BFB">
        <w:rPr>
          <w:rFonts w:ascii="標楷體" w:eastAsia="標楷體" w:hAnsi="標楷體" w:hint="eastAsia"/>
          <w:color w:val="000000" w:themeColor="text1"/>
          <w:spacing w:val="15"/>
          <w:szCs w:val="24"/>
        </w:rPr>
        <w:t>勘</w:t>
      </w:r>
      <w:proofErr w:type="gramEnd"/>
      <w:r w:rsidRPr="006D1BFB">
        <w:rPr>
          <w:rFonts w:ascii="標楷體" w:eastAsia="標楷體" w:hAnsi="標楷體" w:hint="eastAsia"/>
          <w:color w:val="000000" w:themeColor="text1"/>
          <w:spacing w:val="15"/>
          <w:szCs w:val="24"/>
        </w:rPr>
        <w:t>等），應由縣市政府依事實查證後本諸權責核處，惟於實務作業過程（如辦理會</w:t>
      </w:r>
      <w:proofErr w:type="gramStart"/>
      <w:r w:rsidRPr="006D1BFB">
        <w:rPr>
          <w:rFonts w:ascii="標楷體" w:eastAsia="標楷體" w:hAnsi="標楷體" w:hint="eastAsia"/>
          <w:color w:val="000000" w:themeColor="text1"/>
          <w:spacing w:val="15"/>
          <w:szCs w:val="24"/>
        </w:rPr>
        <w:t>勘</w:t>
      </w:r>
      <w:proofErr w:type="gramEnd"/>
      <w:r w:rsidRPr="006D1BFB">
        <w:rPr>
          <w:rFonts w:ascii="標楷體" w:eastAsia="標楷體" w:hAnsi="標楷體" w:hint="eastAsia"/>
          <w:color w:val="000000" w:themeColor="text1"/>
          <w:spacing w:val="15"/>
          <w:szCs w:val="24"/>
        </w:rPr>
        <w:t>）遇有相關單位迴避或</w:t>
      </w:r>
      <w:proofErr w:type="gramStart"/>
      <w:r w:rsidRPr="006D1BFB">
        <w:rPr>
          <w:rFonts w:ascii="標楷體" w:eastAsia="標楷體" w:hAnsi="標楷體" w:hint="eastAsia"/>
          <w:color w:val="000000" w:themeColor="text1"/>
          <w:spacing w:val="15"/>
          <w:szCs w:val="24"/>
        </w:rPr>
        <w:t>怠</w:t>
      </w:r>
      <w:proofErr w:type="gramEnd"/>
      <w:r w:rsidRPr="006D1BFB">
        <w:rPr>
          <w:rFonts w:ascii="標楷體" w:eastAsia="標楷體" w:hAnsi="標楷體" w:hint="eastAsia"/>
          <w:color w:val="000000" w:themeColor="text1"/>
          <w:spacing w:val="15"/>
          <w:szCs w:val="24"/>
        </w:rPr>
        <w:t>責情形，則請縣市政府加強協調或報由地方首長協處改正，以利業務執行推動。</w:t>
      </w:r>
      <w:r w:rsidRPr="006D1BFB">
        <w:rPr>
          <w:rFonts w:ascii="標楷體" w:eastAsia="標楷體" w:hAnsi="標楷體" w:hint="eastAsia"/>
          <w:color w:val="000000" w:themeColor="text1"/>
          <w:spacing w:val="15"/>
          <w:szCs w:val="24"/>
        </w:rPr>
        <w:br/>
      </w:r>
      <w:r w:rsidRPr="006D1BFB">
        <w:rPr>
          <w:rFonts w:ascii="標楷體" w:eastAsia="標楷體" w:hAnsi="標楷體" w:hint="eastAsia"/>
          <w:color w:val="000000" w:themeColor="text1"/>
          <w:spacing w:val="15"/>
          <w:szCs w:val="24"/>
        </w:rPr>
        <w:lastRenderedPageBreak/>
        <w:t>二、另查前述非都市土地編定前合法建物認定證明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，依九十三年八月十九日會商結果，「門牌編釘證明」、「地形圖、都市計畫現況圖、都市計畫</w:t>
      </w:r>
      <w:proofErr w:type="gramStart"/>
      <w:r w:rsidRPr="006D1BFB">
        <w:rPr>
          <w:rFonts w:ascii="標楷體" w:eastAsia="標楷體" w:hAnsi="標楷體" w:hint="eastAsia"/>
          <w:color w:val="000000" w:themeColor="text1"/>
          <w:spacing w:val="15"/>
          <w:szCs w:val="24"/>
        </w:rPr>
        <w:t>禁建圖</w:t>
      </w:r>
      <w:proofErr w:type="gramEnd"/>
      <w:r w:rsidRPr="006D1BFB">
        <w:rPr>
          <w:rFonts w:ascii="標楷體" w:eastAsia="標楷體" w:hAnsi="標楷體" w:hint="eastAsia"/>
          <w:color w:val="000000" w:themeColor="text1"/>
          <w:spacing w:val="15"/>
          <w:szCs w:val="24"/>
        </w:rPr>
        <w:t>、航照圖或政府機關測繪地圖」等雖不足以認定作為證明</w:t>
      </w:r>
      <w:r w:rsidRPr="006D1BFB">
        <w:rPr>
          <w:rStyle w:val="a3"/>
          <w:rFonts w:ascii="標楷體" w:eastAsia="標楷體" w:hAnsi="標楷體" w:hint="eastAsia"/>
          <w:b w:val="0"/>
          <w:color w:val="000000" w:themeColor="text1"/>
          <w:spacing w:val="15"/>
          <w:szCs w:val="24"/>
        </w:rPr>
        <w:t>文件</w:t>
      </w:r>
      <w:r w:rsidRPr="006D1BFB">
        <w:rPr>
          <w:rStyle w:val="a3"/>
          <w:rFonts w:ascii="標楷體" w:eastAsia="標楷體" w:hAnsi="標楷體" w:hint="eastAsia"/>
          <w:color w:val="000000" w:themeColor="text1"/>
          <w:spacing w:val="15"/>
          <w:szCs w:val="24"/>
        </w:rPr>
        <w:t> </w:t>
      </w:r>
      <w:r w:rsidRPr="006D1BFB">
        <w:rPr>
          <w:rFonts w:ascii="標楷體" w:eastAsia="標楷體" w:hAnsi="標楷體" w:hint="eastAsia"/>
          <w:color w:val="000000" w:themeColor="text1"/>
          <w:spacing w:val="15"/>
          <w:szCs w:val="24"/>
        </w:rPr>
        <w:t>，惟倘有其他經縣市政府審認足資證明之</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，仍得據以憑辦，以符現行訴願實務作業，漸採實質採認之趨勢，爰此，本案編定前合法建物認定證明</w:t>
      </w:r>
      <w:r w:rsidRPr="006D1BFB">
        <w:rPr>
          <w:rStyle w:val="a3"/>
          <w:rFonts w:ascii="標楷體" w:eastAsia="標楷體" w:hAnsi="標楷體" w:hint="eastAsia"/>
          <w:b w:val="0"/>
          <w:color w:val="000000" w:themeColor="text1"/>
          <w:spacing w:val="15"/>
          <w:szCs w:val="24"/>
        </w:rPr>
        <w:t>文件</w:t>
      </w:r>
      <w:r w:rsidRPr="006D1BFB">
        <w:rPr>
          <w:rFonts w:ascii="標楷體" w:eastAsia="標楷體" w:hAnsi="標楷體" w:hint="eastAsia"/>
          <w:color w:val="000000" w:themeColor="text1"/>
          <w:spacing w:val="15"/>
          <w:szCs w:val="24"/>
        </w:rPr>
        <w:t>再增列「其他證明</w:t>
      </w:r>
      <w:r w:rsidRPr="006D1BFB">
        <w:rPr>
          <w:rStyle w:val="a3"/>
          <w:rFonts w:ascii="標楷體" w:eastAsia="標楷體" w:hAnsi="標楷體" w:hint="eastAsia"/>
          <w:b w:val="0"/>
          <w:color w:val="000000" w:themeColor="text1"/>
          <w:spacing w:val="15"/>
          <w:szCs w:val="24"/>
        </w:rPr>
        <w:t>文件</w:t>
      </w:r>
      <w:r w:rsidRPr="006D1BFB">
        <w:rPr>
          <w:rStyle w:val="a3"/>
          <w:rFonts w:ascii="標楷體" w:eastAsia="標楷體" w:hAnsi="標楷體" w:hint="eastAsia"/>
          <w:color w:val="000000" w:themeColor="text1"/>
          <w:spacing w:val="15"/>
          <w:szCs w:val="24"/>
        </w:rPr>
        <w:t> </w:t>
      </w:r>
      <w:r w:rsidRPr="006D1BFB">
        <w:rPr>
          <w:rFonts w:ascii="標楷體" w:eastAsia="標楷體" w:hAnsi="標楷體" w:hint="eastAsia"/>
          <w:color w:val="000000" w:themeColor="text1"/>
          <w:spacing w:val="15"/>
          <w:szCs w:val="24"/>
        </w:rPr>
        <w:t>經縣（市）政府採認足以明確證明者」一項，並由地方政府核實審認辦理。</w:t>
      </w:r>
    </w:p>
    <w:sectPr w:rsidR="006D1BFB" w:rsidRPr="006D1BF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FB"/>
    <w:rsid w:val="0040545D"/>
    <w:rsid w:val="006D1BFB"/>
    <w:rsid w:val="00830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1B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1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2018-11-13T05:51:00Z</dcterms:created>
  <dcterms:modified xsi:type="dcterms:W3CDTF">2018-11-13T05:56:00Z</dcterms:modified>
</cp:coreProperties>
</file>